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b/>
          <w:color w:val="1F3364"/>
          <w:sz w:val="52"/>
        </w:rPr>
        <w:t>A3, LLC</w:t>
      </w:r>
    </w:p>
    <w:p>
      <w:pPr>
        <w:spacing w:after="20"/>
        <w:jc w:val="center"/>
      </w:pPr>
      <w:r>
        <w:rPr>
          <w:b/>
          <w:color w:val="444444"/>
          <w:sz w:val="24"/>
        </w:rPr>
        <w:t>CAPABILITY STATEMENT</w:t>
      </w:r>
    </w:p>
    <w:p>
      <w:pPr>
        <w:spacing w:after="40"/>
        <w:jc w:val="center"/>
      </w:pPr>
      <w:r>
        <w:rPr>
          <w:i/>
          <w:color w:val="444444"/>
          <w:sz w:val="19"/>
        </w:rPr>
        <w:t>Federal IT Operations • Cybersecurity • Vulnerability Management • Cloud</w:t>
      </w:r>
    </w:p>
    <w:p>
      <w:pPr>
        <w:spacing w:after="80"/>
        <w:jc w:val="center"/>
        <w:pBdr>
          <w:bottom w:val="single" w:sz="12" w:space="1" w:color="1F3364"/>
        </w:pBdr>
      </w:pPr>
      <w:r>
        <w:rPr>
          <w:sz w:val="17"/>
        </w:rPr>
        <w:t>Albenago "Al" Arseo, President  •  Al.Arseo@a3-llc.com  •  [PHONE]  •  [WEBSITE]</w:t>
        <w:br/>
        <w:t>UEI: [UEI]  •  CAGE: [CAGE]  •  Active SAM.gov Registration</w:t>
      </w:r>
    </w:p>
    <w:p>
      <w:pPr>
        <w:spacing w:before="160" w:after="80"/>
        <w:pBdr>
          <w:bottom w:val="single" w:sz="12" w:space="1" w:color="1F3364"/>
        </w:pBdr>
      </w:pPr>
      <w:r>
        <w:rPr>
          <w:b/>
          <w:color w:val="1F3364"/>
          <w:sz w:val="21"/>
        </w:rPr>
        <w:t>COMPANY OVERVIEW</w:t>
      </w:r>
    </w:p>
    <w:p>
      <w:r>
        <w:t>A3, LLC is a small business providing information technology services with cybersecurity as a core, embedded capability. We support federal agencies and federal prime contractors operating mission-critical, security-sensitive IT environments. Our leadership brings direct, hands-on Department of Defense experience from Scott AFB and Air Force enterprise operations — including vulnerability remediation at scale, cross domain solutions, and Azure adoption for the U.S. Air Force. We are structured to move fast, staff cleared talent, and integrate cleanly into an existing prime team.</w:t>
      </w:r>
    </w:p>
    <w:p>
      <w:pPr>
        <w:spacing w:before="160" w:after="80"/>
        <w:pBdr>
          <w:bottom w:val="single" w:sz="12" w:space="1" w:color="1F3364"/>
        </w:pBdr>
      </w:pPr>
      <w:r>
        <w:rPr>
          <w:b/>
          <w:color w:val="1F3364"/>
          <w:sz w:val="21"/>
        </w:rPr>
        <w:t>CORE COMPETENCIES</w:t>
      </w:r>
    </w:p>
    <w:p>
      <w:pPr>
        <w:pStyle w:val="ListBullet"/>
        <w:spacing w:after="40"/>
        <w:ind w:left="317" w:hanging="202"/>
      </w:pPr>
      <w:r>
        <w:rPr>
          <w:b/>
        </w:rPr>
        <w:t xml:space="preserve">Vulnerability &amp; IAVM Management — </w:t>
      </w:r>
      <w:r>
        <w:t>Enterprise vulnerability scanning, IAVM tracking, remediation workflow, and POA&amp;M support using ACAS, Tenable Nessus Manager, Tenable Security Center, Tanium, and Cortex Xpanse.</w:t>
      </w:r>
    </w:p>
    <w:p>
      <w:pPr>
        <w:pStyle w:val="ListBullet"/>
        <w:spacing w:after="40"/>
        <w:ind w:left="317" w:hanging="202"/>
      </w:pPr>
      <w:r>
        <w:rPr>
          <w:b/>
        </w:rPr>
        <w:t xml:space="preserve">IT Infrastructure &amp; Systems Administration — </w:t>
      </w:r>
      <w:r>
        <w:t>Windows and enterprise systems administration, endpoint lifecycle and patch management, SCCM/MECM deployment and configuration, server and client operations.</w:t>
      </w:r>
    </w:p>
    <w:p>
      <w:pPr>
        <w:pStyle w:val="ListBullet"/>
        <w:spacing w:after="40"/>
        <w:ind w:left="317" w:hanging="202"/>
      </w:pPr>
      <w:r>
        <w:rPr>
          <w:b/>
        </w:rPr>
        <w:t xml:space="preserve">Cloud Operations &amp; Adoption — </w:t>
      </w:r>
      <w:r>
        <w:t>Microsoft 365 and Azure administration, tenant configuration, identity and access management, virtual desktop (VDI) operations, and cloud migration support.</w:t>
      </w:r>
    </w:p>
    <w:p>
      <w:pPr>
        <w:pStyle w:val="ListBullet"/>
        <w:spacing w:after="40"/>
        <w:ind w:left="317" w:hanging="202"/>
      </w:pPr>
      <w:r>
        <w:rPr>
          <w:b/>
        </w:rPr>
        <w:t xml:space="preserve">Compliance &amp; Security Architecture — </w:t>
      </w:r>
      <w:r>
        <w:t>Security control assessment support, continuous monitoring, RMF documentation support, security architecture review, and Cross Domain Solution (CDS) support.</w:t>
      </w:r>
    </w:p>
    <w:p>
      <w:pPr>
        <w:pStyle w:val="ListBullet"/>
        <w:spacing w:after="40"/>
        <w:ind w:left="317" w:hanging="202"/>
      </w:pPr>
      <w:r>
        <w:rPr>
          <w:b/>
        </w:rPr>
        <w:t xml:space="preserve">Automation &amp; Security Reporting — </w:t>
      </w:r>
      <w:r>
        <w:t>Power Automate workflow automation, recurring security metrics and compliance reporting, and reduction of manual analyst effort.</w:t>
      </w:r>
    </w:p>
    <w:p>
      <w:pPr>
        <w:pStyle w:val="ListBullet"/>
        <w:spacing w:after="40"/>
        <w:ind w:left="317" w:hanging="202"/>
      </w:pPr>
      <w:r>
        <w:rPr>
          <w:b/>
        </w:rPr>
        <w:t xml:space="preserve">End-User &amp; Collaboration Support — </w:t>
      </w:r>
      <w:r>
        <w:t>End-user support, collaboration platform administration, and service desk escalation support.</w:t>
      </w:r>
    </w:p>
    <w:p>
      <w:pPr>
        <w:spacing w:before="160" w:after="80"/>
        <w:pBdr>
          <w:bottom w:val="single" w:sz="12" w:space="1" w:color="1F3364"/>
        </w:pBdr>
      </w:pPr>
      <w:r>
        <w:rPr>
          <w:b/>
          <w:color w:val="1F3364"/>
          <w:sz w:val="21"/>
        </w:rPr>
        <w:t>DIFFERENTIATORS</w:t>
      </w:r>
    </w:p>
    <w:p>
      <w:pPr>
        <w:pStyle w:val="ListBullet"/>
        <w:spacing w:after="40"/>
        <w:ind w:left="317" w:hanging="202"/>
      </w:pPr>
      <w:r>
        <w:rPr>
          <w:b/>
        </w:rPr>
        <w:t xml:space="preserve">Cleared Leadership on Day One — </w:t>
      </w:r>
      <w:r>
        <w:t>President holds an active Secret clearance; Vice President holds an active Top Secret/SCI clearance. We can put cleared leadership on a requirement without waiting on an investigation cycle.</w:t>
      </w:r>
    </w:p>
    <w:p>
      <w:pPr>
        <w:pStyle w:val="ListBullet"/>
        <w:spacing w:after="40"/>
        <w:ind w:left="317" w:hanging="202"/>
      </w:pPr>
      <w:r>
        <w:rPr>
          <w:b/>
        </w:rPr>
        <w:t xml:space="preserve">Certification Depth — </w:t>
      </w:r>
      <w:r>
        <w:t>CISSP, CompTIA PenTest+, CySA+, SSCP, Security+, Network+, A+, Project+, ITIL v4 Foundations, Tanium Essentials 7.4, Google Cloud Digital Leader, Microsoft Azure Fundamentals, Microsoft 365 Fundamentals, Microsoft Dynamics 365 Fundamentals.</w:t>
      </w:r>
    </w:p>
    <w:p>
      <w:pPr>
        <w:pStyle w:val="ListBullet"/>
        <w:spacing w:after="40"/>
        <w:ind w:left="317" w:hanging="202"/>
      </w:pPr>
      <w:r>
        <w:rPr>
          <w:b/>
        </w:rPr>
        <w:t xml:space="preserve">Air Force &amp; Scott AFB Footprint — </w:t>
      </w:r>
      <w:r>
        <w:t>Leadership experience spans HQ Cyberspace Capabilities Center, the AF Cross Domain Support Element, and Illinois Air National Guard operations at Scott AFB — we know the customer, the networks, and the base.</w:t>
      </w:r>
    </w:p>
    <w:p>
      <w:pPr>
        <w:pStyle w:val="ListBullet"/>
        <w:spacing w:after="40"/>
        <w:ind w:left="317" w:hanging="202"/>
      </w:pPr>
      <w:r>
        <w:rPr>
          <w:b/>
        </w:rPr>
        <w:t xml:space="preserve">Tool-Level Specificity — </w:t>
      </w:r>
      <w:r>
        <w:t>We name the tools we actually operate rather than claiming generic "IT services," which lets a prime match us to a labor category and a PWS task with confidence.</w:t>
      </w:r>
    </w:p>
    <w:p>
      <w:pPr>
        <w:pStyle w:val="ListBullet"/>
        <w:spacing w:after="40"/>
        <w:ind w:left="317" w:hanging="202"/>
      </w:pPr>
      <w:r>
        <w:rPr>
          <w:b/>
        </w:rPr>
        <w:t xml:space="preserve">Built for Teaming — </w:t>
      </w:r>
      <w:r>
        <w:t>Sized and structured to serve as a responsive subcontractor or teaming partner to large primes with FAR 52.219-9 subcontracting plan obligations.</w:t>
      </w:r>
    </w:p>
    <w:p>
      <w:pPr>
        <w:spacing w:before="160" w:after="80"/>
        <w:pBdr>
          <w:bottom w:val="single" w:sz="12" w:space="1" w:color="1F3364"/>
        </w:pBdr>
      </w:pPr>
      <w:r>
        <w:rPr>
          <w:b/>
          <w:color w:val="1F3364"/>
          <w:sz w:val="21"/>
        </w:rPr>
        <w:t>RELEVANT PERSONNEL EXPERIENCE</w:t>
      </w:r>
    </w:p>
    <w:p>
      <w:r>
        <w:rPr>
          <w:i/>
          <w:color w:val="444444"/>
          <w:sz w:val="17"/>
        </w:rPr>
        <w:t>A3, LLC was founded in 2026 and is building its corporate past performance record. The following reflects the individual professional experience of our leadership, not contracts held by A3, LLC.</w:t>
      </w:r>
    </w:p>
    <w:p>
      <w:pPr>
        <w:pStyle w:val="ListBullet"/>
        <w:spacing w:after="40"/>
        <w:ind w:left="317" w:hanging="202"/>
      </w:pPr>
      <w:r>
        <w:rPr>
          <w:b/>
        </w:rPr>
        <w:t xml:space="preserve">President — </w:t>
      </w:r>
      <w:r>
        <w:t>Information System Security Engineer supporting Scott AFB — security engineering and assessment in an operational DoD environment.</w:t>
      </w:r>
    </w:p>
    <w:p>
      <w:pPr>
        <w:pStyle w:val="ListBullet"/>
        <w:spacing w:after="40"/>
        <w:ind w:left="317" w:hanging="202"/>
      </w:pPr>
      <w:r>
        <w:rPr>
          <w:b/>
        </w:rPr>
        <w:t xml:space="preserve">President — </w:t>
      </w:r>
      <w:r>
        <w:t>Cybersecurity Analyst supporting HQ Cyberspace Capabilities Center and the Air Force Cross Domain Support Element — vulnerability management and cross domain solution support.</w:t>
      </w:r>
    </w:p>
    <w:p>
      <w:pPr>
        <w:pStyle w:val="ListBullet"/>
        <w:spacing w:after="40"/>
        <w:ind w:left="317" w:hanging="202"/>
      </w:pPr>
      <w:r>
        <w:rPr>
          <w:b/>
        </w:rPr>
        <w:t xml:space="preserve">President — </w:t>
      </w:r>
      <w:r>
        <w:t>SCCM System Administrator and Microsoft 365 Administrator — endpoint management and cloud collaboration administration.</w:t>
      </w:r>
    </w:p>
    <w:p>
      <w:pPr>
        <w:pStyle w:val="ListBullet"/>
        <w:spacing w:after="40"/>
        <w:ind w:left="317" w:hanging="202"/>
      </w:pPr>
      <w:r>
        <w:rPr>
          <w:b/>
        </w:rPr>
        <w:t xml:space="preserve">Vice President — </w:t>
      </w:r>
      <w:r>
        <w:t>Operations Superintendent, Illinois Air National Guard, Scott AFB — managed AFCENT’s largest data center; eliminated 300,000+ cyber vulnerabilities across 5,100 clients and 220 servers.</w:t>
      </w:r>
    </w:p>
    <w:p>
      <w:pPr>
        <w:pStyle w:val="ListBullet"/>
        <w:spacing w:after="40"/>
        <w:ind w:left="317" w:hanging="202"/>
      </w:pPr>
      <w:r>
        <w:rPr>
          <w:b/>
        </w:rPr>
        <w:t xml:space="preserve">Vice President — </w:t>
      </w:r>
      <w:r>
        <w:t>Microsoft Client Success Account Manager Team Lead — led Azure adoption for the U.S. Air Force; currently manages a technical account management team at Google.</w:t>
      </w:r>
    </w:p>
    <w:p>
      <w:pPr>
        <w:spacing w:before="160" w:after="80"/>
        <w:pBdr>
          <w:bottom w:val="single" w:sz="12" w:space="1" w:color="1F3364"/>
        </w:pBdr>
      </w:pPr>
      <w:r>
        <w:rPr>
          <w:b/>
          <w:color w:val="1F3364"/>
          <w:sz w:val="21"/>
        </w:rPr>
        <w:t>CODES &amp; COMPANY DATA</w:t>
      </w:r>
    </w:p>
    <w:tbl>
      <w:tblPr>
        <w:tblW w:type="auto" w:w="0"/>
        <w:jc w:val="left"/>
        <w:tblLayout w:type="fixed"/>
        <w:tblLook w:firstColumn="1" w:firstRow="1" w:lastColumn="0" w:lastRow="0" w:noHBand="0" w:noVBand="1" w:val="04A0"/>
        <w:tblBorders>
          <w:top w:val="single" w:sz="4" w:color="B8C2D9"/>
          <w:left w:val="single" w:sz="4" w:color="B8C2D9"/>
          <w:bottom w:val="single" w:sz="4" w:color="B8C2D9"/>
          <w:right w:val="single" w:sz="4" w:color="B8C2D9"/>
          <w:insideH w:val="single" w:sz="4" w:color="B8C2D9"/>
          <w:insideV w:val="single" w:sz="4" w:color="B8C2D9"/>
        </w:tblBorders>
      </w:tblPr>
      <w:tblGrid>
        <w:gridCol w:w="5256"/>
        <w:gridCol w:w="5256"/>
      </w:tblGrid>
      <w:tr>
        <w:tc>
          <w:tcPr>
            <w:tcW w:type="dxa" w:w="2232"/>
            <w:shd w:val="clear" w:color="auto" w:fill="EAEEF5"/>
          </w:tcPr>
          <w:p>
            <w:pPr>
              <w:spacing w:after="20"/>
            </w:pPr>
            <w:r>
              <w:rPr>
                <w:b/>
                <w:color w:val="1F3364"/>
                <w:sz w:val="17"/>
              </w:rPr>
              <w:t>Primary NAICS</w:t>
            </w:r>
          </w:p>
        </w:tc>
        <w:tc>
          <w:tcPr>
            <w:tcW w:type="dxa" w:w="8280"/>
          </w:tcPr>
          <w:p>
            <w:pPr>
              <w:spacing w:after="20"/>
            </w:pPr>
            <w:r>
              <w:rPr>
                <w:sz w:val="17"/>
              </w:rPr>
              <w:t>541512 Computer Systems Design Services  •  541519 Other Computer Related Services  •  541513 Computer Facilities Management Services  •  541611 Administrative Management &amp; General Management Consulting Services</w:t>
            </w:r>
          </w:p>
        </w:tc>
      </w:tr>
      <w:tr>
        <w:tc>
          <w:tcPr>
            <w:tcW w:type="dxa" w:w="2232"/>
            <w:shd w:val="clear" w:color="auto" w:fill="EAEEF5"/>
          </w:tcPr>
          <w:p>
            <w:pPr>
              <w:spacing w:after="20"/>
            </w:pPr>
            <w:r>
              <w:rPr>
                <w:b/>
                <w:color w:val="1F3364"/>
                <w:sz w:val="17"/>
              </w:rPr>
              <w:t>Relevant PSC</w:t>
            </w:r>
          </w:p>
        </w:tc>
        <w:tc>
          <w:tcPr>
            <w:tcW w:type="dxa" w:w="8280"/>
          </w:tcPr>
          <w:p>
            <w:pPr>
              <w:spacing w:after="20"/>
            </w:pPr>
            <w:r>
              <w:rPr>
                <w:sz w:val="17"/>
              </w:rPr>
              <w:t>DJ10 IT &amp; Telecom – Security &amp; Compliance as a Service  •  DG01 IT &amp; Telecom – Network Support Services  •  D399 IT &amp; Telecom – Other IT &amp; Telecommunications</w:t>
            </w:r>
          </w:p>
        </w:tc>
      </w:tr>
      <w:tr>
        <w:tc>
          <w:tcPr>
            <w:tcW w:type="dxa" w:w="2232"/>
            <w:shd w:val="clear" w:color="auto" w:fill="EAEEF5"/>
          </w:tcPr>
          <w:p>
            <w:pPr>
              <w:spacing w:after="20"/>
            </w:pPr>
            <w:r>
              <w:rPr>
                <w:b/>
                <w:color w:val="1F3364"/>
                <w:sz w:val="17"/>
              </w:rPr>
              <w:t>Business Size</w:t>
            </w:r>
          </w:p>
        </w:tc>
        <w:tc>
          <w:tcPr>
            <w:tcW w:type="dxa" w:w="8280"/>
          </w:tcPr>
          <w:p>
            <w:pPr>
              <w:spacing w:after="20"/>
            </w:pPr>
            <w:r>
              <w:rPr>
                <w:sz w:val="17"/>
              </w:rPr>
              <w:t>Small business under all listed NAICS codes. 7 full-time employees. Founded 2026.</w:t>
            </w:r>
          </w:p>
        </w:tc>
      </w:tr>
      <w:tr>
        <w:tc>
          <w:tcPr>
            <w:tcW w:type="dxa" w:w="2232"/>
            <w:shd w:val="clear" w:color="auto" w:fill="EAEEF5"/>
          </w:tcPr>
          <w:p>
            <w:pPr>
              <w:spacing w:after="20"/>
            </w:pPr>
            <w:r>
              <w:rPr>
                <w:b/>
                <w:color w:val="1F3364"/>
                <w:sz w:val="17"/>
              </w:rPr>
              <w:t>Clearances</w:t>
            </w:r>
          </w:p>
        </w:tc>
        <w:tc>
          <w:tcPr>
            <w:tcW w:type="dxa" w:w="8280"/>
          </w:tcPr>
          <w:p>
            <w:pPr>
              <w:spacing w:after="20"/>
            </w:pPr>
            <w:r>
              <w:rPr>
                <w:sz w:val="17"/>
              </w:rPr>
              <w:t>President holds an active Secret clearance. Vice President holds an active Top Secret/SCI clearance. Cleared leadership is available for immediate assignment.</w:t>
            </w:r>
          </w:p>
        </w:tc>
      </w:tr>
      <w:tr>
        <w:tc>
          <w:tcPr>
            <w:tcW w:type="dxa" w:w="2232"/>
            <w:shd w:val="clear" w:color="auto" w:fill="EAEEF5"/>
          </w:tcPr>
          <w:p>
            <w:pPr>
              <w:spacing w:after="20"/>
            </w:pPr>
            <w:r>
              <w:rPr>
                <w:b/>
                <w:color w:val="1F3364"/>
                <w:sz w:val="17"/>
              </w:rPr>
              <w:t>Target Customers</w:t>
            </w:r>
          </w:p>
        </w:tc>
        <w:tc>
          <w:tcPr>
            <w:tcW w:type="dxa" w:w="8280"/>
          </w:tcPr>
          <w:p>
            <w:pPr>
              <w:spacing w:after="20"/>
            </w:pPr>
            <w:r>
              <w:rPr>
                <w:sz w:val="17"/>
              </w:rPr>
              <w:t>U.S. Air Force, U.S. Army, and DoD components; DOJ, USDA, GSA, DOI, DOE. Nationwide, with concentration in the Scott AFB / Metro East Illinois – St. Louis region.</w:t>
            </w:r>
          </w:p>
        </w:tc>
      </w:tr>
      <w:tr>
        <w:tc>
          <w:tcPr>
            <w:tcW w:type="dxa" w:w="2232"/>
            <w:shd w:val="clear" w:color="auto" w:fill="EAEEF5"/>
          </w:tcPr>
          <w:p>
            <w:pPr>
              <w:spacing w:after="20"/>
            </w:pPr>
            <w:r>
              <w:rPr>
                <w:b/>
                <w:color w:val="1F3364"/>
                <w:sz w:val="17"/>
              </w:rPr>
              <w:t>Contact</w:t>
            </w:r>
          </w:p>
        </w:tc>
        <w:tc>
          <w:tcPr>
            <w:tcW w:type="dxa" w:w="8280"/>
          </w:tcPr>
          <w:p>
            <w:pPr>
              <w:spacing w:after="20"/>
            </w:pPr>
            <w:r>
              <w:rPr>
                <w:sz w:val="17"/>
              </w:rPr>
              <w:t>Albenago "Al" Arseo, President  •  Al.Arseo@a3-llc.com  •  [PHONE]</w:t>
            </w:r>
          </w:p>
        </w:tc>
      </w:tr>
    </w:tbl>
    <w:sectPr w:rsidR="00FC693F" w:rsidRPr="0006063C" w:rsidSect="00034616">
      <w:pgSz w:w="12240" w:h="15840"/>
      <w:pgMar w:top="720" w:right="864" w:bottom="64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before="0"/>
    </w:pPr>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